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63" w:rsidRDefault="00BE5388" w:rsidP="006075A4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7730" cy="862122"/>
            <wp:effectExtent l="19050" t="0" r="7620" b="0"/>
            <wp:docPr id="1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61" cy="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2B">
        <w:rPr>
          <w:b/>
          <w:sz w:val="28"/>
          <w:szCs w:val="28"/>
          <w:u w:val="single"/>
        </w:rPr>
        <w:t>NORTHEAST INSTITUTE FOR QUALITY COMMUNITY ACTION</w:t>
      </w:r>
    </w:p>
    <w:p w:rsidR="00E25CB5" w:rsidRPr="00E25CB5" w:rsidRDefault="0097700F" w:rsidP="006075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5CB5">
        <w:rPr>
          <w:b/>
          <w:sz w:val="28"/>
          <w:szCs w:val="28"/>
          <w:u w:val="single"/>
        </w:rPr>
        <w:t>CAA BOARD MEMBER TUR</w:t>
      </w:r>
      <w:r w:rsidR="00B77865" w:rsidRPr="00E25CB5">
        <w:rPr>
          <w:b/>
          <w:sz w:val="28"/>
          <w:szCs w:val="28"/>
          <w:u w:val="single"/>
        </w:rPr>
        <w:t>N</w:t>
      </w:r>
      <w:r w:rsidRPr="00E25CB5">
        <w:rPr>
          <w:b/>
          <w:sz w:val="28"/>
          <w:szCs w:val="28"/>
          <w:u w:val="single"/>
        </w:rPr>
        <w:t>OVER REVIEW</w:t>
      </w:r>
    </w:p>
    <w:p w:rsidR="00F2591F" w:rsidRDefault="00D95D3B" w:rsidP="006E7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Preface.</w:t>
      </w:r>
    </w:p>
    <w:p w:rsidR="00D95D3B" w:rsidRDefault="00DA6D48" w:rsidP="006E7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 analysis of</w:t>
      </w:r>
      <w:r w:rsidR="0097700F">
        <w:rPr>
          <w:b/>
          <w:sz w:val="28"/>
          <w:szCs w:val="28"/>
        </w:rPr>
        <w:t xml:space="preserve"> the frequency of CAA Board member turnover </w:t>
      </w:r>
      <w:r>
        <w:rPr>
          <w:b/>
          <w:sz w:val="28"/>
          <w:szCs w:val="28"/>
        </w:rPr>
        <w:t xml:space="preserve">was undertaken to help assess the volume of board turnover, identify tripartite sector </w:t>
      </w:r>
      <w:r w:rsidR="00F2591F">
        <w:rPr>
          <w:b/>
          <w:sz w:val="28"/>
          <w:szCs w:val="28"/>
        </w:rPr>
        <w:t xml:space="preserve">turnover </w:t>
      </w:r>
      <w:r>
        <w:rPr>
          <w:b/>
          <w:sz w:val="28"/>
          <w:szCs w:val="28"/>
        </w:rPr>
        <w:t>experience and suggest policies/practices</w:t>
      </w:r>
      <w:r w:rsidR="0097700F">
        <w:rPr>
          <w:b/>
          <w:sz w:val="28"/>
          <w:szCs w:val="28"/>
        </w:rPr>
        <w:t xml:space="preserve"> which could strengthen </w:t>
      </w:r>
      <w:r w:rsidR="00D95D3B">
        <w:rPr>
          <w:b/>
          <w:sz w:val="28"/>
          <w:szCs w:val="28"/>
        </w:rPr>
        <w:t>the stability, compliance</w:t>
      </w:r>
      <w:r w:rsidR="0097700F">
        <w:rPr>
          <w:b/>
          <w:sz w:val="28"/>
          <w:szCs w:val="28"/>
        </w:rPr>
        <w:t xml:space="preserve"> and effectiveness </w:t>
      </w:r>
      <w:r w:rsidR="00D95D3B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CAA</w:t>
      </w:r>
      <w:r w:rsidR="0097700F">
        <w:rPr>
          <w:b/>
          <w:sz w:val="28"/>
          <w:szCs w:val="28"/>
        </w:rPr>
        <w:t xml:space="preserve"> governance.  The following is an analysis of two years (20</w:t>
      </w:r>
      <w:r>
        <w:rPr>
          <w:b/>
          <w:sz w:val="28"/>
          <w:szCs w:val="28"/>
        </w:rPr>
        <w:t xml:space="preserve">18-2020) of CSG data for 21 local CAAs in the Northeast Region of the U.S. </w:t>
      </w:r>
      <w:r w:rsidR="00977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95D3B" w:rsidRDefault="00DA6D48" w:rsidP="006E7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Summary of Findings:</w:t>
      </w:r>
    </w:p>
    <w:p w:rsidR="00D95D3B" w:rsidRDefault="00D95D3B" w:rsidP="00D95D3B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During th</w:t>
      </w:r>
      <w:r w:rsidR="00DA6D48">
        <w:rPr>
          <w:b/>
          <w:sz w:val="28"/>
          <w:szCs w:val="28"/>
        </w:rPr>
        <w:t>e 2 year period 21 CAAs experienced</w:t>
      </w:r>
      <w:r>
        <w:rPr>
          <w:b/>
          <w:sz w:val="28"/>
          <w:szCs w:val="28"/>
        </w:rPr>
        <w:t xml:space="preserve"> 125 board vacancies</w:t>
      </w:r>
      <w:r w:rsidR="00DA6D48">
        <w:rPr>
          <w:b/>
          <w:sz w:val="28"/>
          <w:szCs w:val="28"/>
        </w:rPr>
        <w:t xml:space="preserve"> which is estimated to total</w:t>
      </w:r>
      <w:r>
        <w:rPr>
          <w:b/>
          <w:sz w:val="28"/>
          <w:szCs w:val="28"/>
        </w:rPr>
        <w:t xml:space="preserve"> 30% of the </w:t>
      </w:r>
      <w:r w:rsidR="00DA6D48">
        <w:rPr>
          <w:b/>
          <w:sz w:val="28"/>
          <w:szCs w:val="28"/>
        </w:rPr>
        <w:t>414 CAA Board</w:t>
      </w:r>
      <w:r>
        <w:rPr>
          <w:b/>
          <w:sz w:val="28"/>
          <w:szCs w:val="28"/>
        </w:rPr>
        <w:t xml:space="preserve"> seats available.  </w:t>
      </w:r>
    </w:p>
    <w:p w:rsidR="00D95D3B" w:rsidRDefault="00D95D3B" w:rsidP="00D95D3B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CAA Board vacancies by Sector are as follows: Public: 42</w:t>
      </w:r>
      <w:r w:rsidR="004A61DF">
        <w:rPr>
          <w:b/>
          <w:sz w:val="28"/>
          <w:szCs w:val="28"/>
        </w:rPr>
        <w:t xml:space="preserve"> (34%); Low Income: 47 (38%) and Private: 36 (28%).</w:t>
      </w:r>
    </w:p>
    <w:p w:rsidR="004A61DF" w:rsidRDefault="004A61DF" w:rsidP="00D95D3B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the 125 vacancies 57 (45%) existed for 100+ days and 47 (38%) existed for 180+days. </w:t>
      </w:r>
    </w:p>
    <w:p w:rsidR="004A61DF" w:rsidRDefault="004A61DF" w:rsidP="00D95D3B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the 57 100+day vacancies 19 (33%) were Public Sector seats, 24 (42%) were Low Income Sector seats and 14 (25%) were Private Sector seats. </w:t>
      </w:r>
    </w:p>
    <w:p w:rsidR="004A61DF" w:rsidRDefault="004A61DF" w:rsidP="00D95D3B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 the 47 180+day vacancies 17</w:t>
      </w:r>
      <w:r w:rsidR="00C113EA">
        <w:rPr>
          <w:b/>
          <w:sz w:val="28"/>
          <w:szCs w:val="28"/>
        </w:rPr>
        <w:t xml:space="preserve"> (36%) were Public; 17 were Low Income (36%) and (28%) were Private.</w:t>
      </w:r>
    </w:p>
    <w:p w:rsidR="0025006F" w:rsidRPr="00F2591F" w:rsidRDefault="0025006F" w:rsidP="00F2591F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average it appears that this network of local </w:t>
      </w:r>
      <w:r w:rsidR="00C113EA">
        <w:rPr>
          <w:b/>
          <w:sz w:val="28"/>
          <w:szCs w:val="28"/>
        </w:rPr>
        <w:t xml:space="preserve">CAAs experienced </w:t>
      </w:r>
      <w:r>
        <w:rPr>
          <w:b/>
          <w:sz w:val="28"/>
          <w:szCs w:val="28"/>
        </w:rPr>
        <w:t xml:space="preserve">on average </w:t>
      </w:r>
      <w:r w:rsidR="00C113EA">
        <w:rPr>
          <w:b/>
          <w:sz w:val="28"/>
          <w:szCs w:val="28"/>
        </w:rPr>
        <w:t>3-4 Board vacancies during the 24 month period studied</w:t>
      </w:r>
      <w:r>
        <w:rPr>
          <w:b/>
          <w:sz w:val="28"/>
          <w:szCs w:val="28"/>
        </w:rPr>
        <w:t xml:space="preserve"> and that </w:t>
      </w:r>
      <w:r w:rsidR="00C113EA">
        <w:rPr>
          <w:b/>
          <w:sz w:val="28"/>
          <w:szCs w:val="28"/>
        </w:rPr>
        <w:t xml:space="preserve">at least 1 of these </w:t>
      </w:r>
      <w:r>
        <w:rPr>
          <w:b/>
          <w:sz w:val="28"/>
          <w:szCs w:val="28"/>
        </w:rPr>
        <w:t>vacancies required more than 6 months to fill.</w:t>
      </w:r>
    </w:p>
    <w:p w:rsidR="00D6031F" w:rsidRDefault="00D6031F" w:rsidP="00D6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Observations</w:t>
      </w:r>
    </w:p>
    <w:p w:rsidR="00D6031F" w:rsidRDefault="00D6031F" w:rsidP="00D6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data does raise some concern about the frequency of </w:t>
      </w:r>
      <w:r w:rsidR="001064DE">
        <w:rPr>
          <w:b/>
          <w:sz w:val="28"/>
          <w:szCs w:val="28"/>
        </w:rPr>
        <w:t xml:space="preserve">CAA </w:t>
      </w:r>
      <w:r>
        <w:rPr>
          <w:b/>
          <w:sz w:val="28"/>
          <w:szCs w:val="28"/>
        </w:rPr>
        <w:t xml:space="preserve">board member churning over a 24 month period.  CAAs are large and complex organizations which operate in a highly regulated fiscal environment with limited resources to address compelling and challenging community needs.  CAA governance requires both organizational and community knowledge and experience.  Recruiting and supporting </w:t>
      </w:r>
      <w:r w:rsidR="00F2591F">
        <w:rPr>
          <w:b/>
          <w:sz w:val="28"/>
          <w:szCs w:val="28"/>
        </w:rPr>
        <w:t>informed, stable,</w:t>
      </w:r>
      <w:r w:rsidR="0025006F">
        <w:rPr>
          <w:b/>
          <w:sz w:val="28"/>
          <w:szCs w:val="28"/>
        </w:rPr>
        <w:t xml:space="preserve"> tripartite compliant board </w:t>
      </w:r>
      <w:r w:rsidR="001064DE">
        <w:rPr>
          <w:b/>
          <w:sz w:val="28"/>
          <w:szCs w:val="28"/>
        </w:rPr>
        <w:lastRenderedPageBreak/>
        <w:t>involvement in strategic planning and oversight is critical to maintain</w:t>
      </w:r>
      <w:r w:rsidR="0025006F">
        <w:rPr>
          <w:b/>
          <w:sz w:val="28"/>
          <w:szCs w:val="28"/>
        </w:rPr>
        <w:t>ing</w:t>
      </w:r>
      <w:r w:rsidR="001064DE">
        <w:rPr>
          <w:b/>
          <w:sz w:val="28"/>
          <w:szCs w:val="28"/>
        </w:rPr>
        <w:t xml:space="preserve"> organizational excellence in management and servi</w:t>
      </w:r>
      <w:r w:rsidR="00F2591F">
        <w:rPr>
          <w:b/>
          <w:sz w:val="28"/>
          <w:szCs w:val="28"/>
        </w:rPr>
        <w:t>ce.</w:t>
      </w:r>
    </w:p>
    <w:p w:rsidR="0025006F" w:rsidRDefault="0025006F" w:rsidP="006E74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Suggestions for Managing Unanticipated CAA Board Turnover.</w:t>
      </w:r>
    </w:p>
    <w:p w:rsidR="004860A5" w:rsidRDefault="004860A5" w:rsidP="004860A5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Eliminate unneces</w:t>
      </w:r>
      <w:r w:rsidR="0001783F">
        <w:rPr>
          <w:b/>
          <w:sz w:val="28"/>
          <w:szCs w:val="28"/>
        </w:rPr>
        <w:t xml:space="preserve">sary board recruitment </w:t>
      </w:r>
      <w:r>
        <w:rPr>
          <w:b/>
          <w:sz w:val="28"/>
          <w:szCs w:val="28"/>
        </w:rPr>
        <w:t>restric</w:t>
      </w:r>
      <w:r w:rsidR="0001783F">
        <w:rPr>
          <w:b/>
          <w:sz w:val="28"/>
          <w:szCs w:val="28"/>
        </w:rPr>
        <w:t>tions from the agency’s Bylaws (e.g., geographic, private organizational affiliation, etc.).</w:t>
      </w:r>
    </w:p>
    <w:p w:rsidR="003E7AB2" w:rsidRPr="00F2591F" w:rsidRDefault="003E7AB2" w:rsidP="00F2591F">
      <w:pPr>
        <w:pStyle w:val="ListParagraph"/>
        <w:numPr>
          <w:ilvl w:val="0"/>
          <w:numId w:val="30"/>
        </w:numPr>
        <w:spacing w:after="0"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 xml:space="preserve">Consider </w:t>
      </w:r>
      <w:r w:rsidR="0025006F" w:rsidRPr="00F2591F">
        <w:rPr>
          <w:b/>
          <w:sz w:val="28"/>
          <w:szCs w:val="28"/>
        </w:rPr>
        <w:t>requesting public</w:t>
      </w:r>
      <w:r w:rsidRPr="00F2591F">
        <w:rPr>
          <w:b/>
          <w:sz w:val="28"/>
          <w:szCs w:val="28"/>
        </w:rPr>
        <w:t xml:space="preserve"> officials and community-based organizations to identify an alternate individual to serve on the CAA Board if the primary designee is unable to continue his/her service. </w:t>
      </w:r>
    </w:p>
    <w:p w:rsidR="00F2591F" w:rsidRDefault="009B4DE2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 xml:space="preserve">Create a proactive board member recruitment plan which is monitored </w:t>
      </w:r>
      <w:r w:rsidR="005C5AAF" w:rsidRPr="00F2591F">
        <w:rPr>
          <w:b/>
          <w:sz w:val="28"/>
          <w:szCs w:val="28"/>
        </w:rPr>
        <w:t xml:space="preserve">and updated </w:t>
      </w:r>
      <w:r w:rsidRPr="00F2591F">
        <w:rPr>
          <w:b/>
          <w:sz w:val="28"/>
          <w:szCs w:val="28"/>
        </w:rPr>
        <w:t>by both board and management leadership.</w:t>
      </w:r>
    </w:p>
    <w:p w:rsidR="00F2591F" w:rsidRDefault="006E60A9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>Use agency Committees to offe</w:t>
      </w:r>
      <w:r w:rsidR="00E25051" w:rsidRPr="00F2591F">
        <w:rPr>
          <w:b/>
          <w:sz w:val="28"/>
          <w:szCs w:val="28"/>
        </w:rPr>
        <w:t>r diverse community leaders an i</w:t>
      </w:r>
      <w:r w:rsidRPr="00F2591F">
        <w:rPr>
          <w:b/>
          <w:sz w:val="28"/>
          <w:szCs w:val="28"/>
        </w:rPr>
        <w:t xml:space="preserve">ntroductory, hands on, exposure </w:t>
      </w:r>
      <w:r w:rsidR="00F2591F">
        <w:rPr>
          <w:b/>
          <w:sz w:val="28"/>
          <w:szCs w:val="28"/>
        </w:rPr>
        <w:t>to agency mission, goals and operations.</w:t>
      </w:r>
    </w:p>
    <w:p w:rsidR="00F2591F" w:rsidRDefault="009B4DE2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 xml:space="preserve">Screen potential candidates to assess interest, availability and commitment. Schedule orientation within 30 days of election and provide 12 month </w:t>
      </w:r>
      <w:r w:rsidR="005C5AAF" w:rsidRPr="00F2591F">
        <w:rPr>
          <w:b/>
          <w:sz w:val="28"/>
          <w:szCs w:val="28"/>
        </w:rPr>
        <w:t xml:space="preserve">customized </w:t>
      </w:r>
      <w:r w:rsidRPr="00F2591F">
        <w:rPr>
          <w:b/>
          <w:sz w:val="28"/>
          <w:szCs w:val="28"/>
        </w:rPr>
        <w:t>support program for new members.</w:t>
      </w:r>
    </w:p>
    <w:p w:rsidR="009B4DE2" w:rsidRPr="00F2591F" w:rsidRDefault="009B4DE2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 xml:space="preserve">Customize technology support for directors and committee members. </w:t>
      </w:r>
    </w:p>
    <w:p w:rsidR="00F2591F" w:rsidRDefault="005C5AAF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Assign responsibility for proactive personal follow-up with members missing consecutive meetings.</w:t>
      </w:r>
      <w:r w:rsidR="009C4CCE" w:rsidRPr="004860A5">
        <w:rPr>
          <w:b/>
          <w:sz w:val="28"/>
          <w:szCs w:val="28"/>
        </w:rPr>
        <w:tab/>
      </w:r>
    </w:p>
    <w:p w:rsidR="00F2591F" w:rsidRDefault="005C5AAF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>Acknowledge</w:t>
      </w:r>
      <w:r w:rsidR="006E60A9" w:rsidRPr="00F2591F">
        <w:rPr>
          <w:b/>
          <w:sz w:val="28"/>
          <w:szCs w:val="28"/>
        </w:rPr>
        <w:t>/Thank</w:t>
      </w:r>
      <w:r w:rsidRPr="00F2591F">
        <w:rPr>
          <w:b/>
          <w:sz w:val="28"/>
          <w:szCs w:val="28"/>
        </w:rPr>
        <w:t xml:space="preserve"> public officials and community-based organizations that nominate Sector Directors in a timely manner</w:t>
      </w:r>
      <w:r w:rsidR="006E60A9" w:rsidRPr="00F2591F">
        <w:rPr>
          <w:b/>
          <w:sz w:val="28"/>
          <w:szCs w:val="28"/>
        </w:rPr>
        <w:t xml:space="preserve">. </w:t>
      </w:r>
    </w:p>
    <w:p w:rsidR="00F2591F" w:rsidRDefault="006E60A9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>Annually conduct a board member Governance performance assessment and promptly addr</w:t>
      </w:r>
      <w:r w:rsidR="00F2591F">
        <w:rPr>
          <w:b/>
          <w:sz w:val="28"/>
          <w:szCs w:val="28"/>
        </w:rPr>
        <w:t xml:space="preserve">ess opportunities for reforms. </w:t>
      </w:r>
    </w:p>
    <w:p w:rsidR="00F2591F" w:rsidRDefault="00F2591F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0A9" w:rsidRPr="00F2591F">
        <w:rPr>
          <w:b/>
          <w:sz w:val="28"/>
          <w:szCs w:val="28"/>
        </w:rPr>
        <w:t xml:space="preserve">Conduct </w:t>
      </w:r>
      <w:r>
        <w:rPr>
          <w:b/>
          <w:sz w:val="28"/>
          <w:szCs w:val="28"/>
        </w:rPr>
        <w:t>annual</w:t>
      </w:r>
      <w:r w:rsidR="006E60A9" w:rsidRPr="00F2591F">
        <w:rPr>
          <w:b/>
          <w:sz w:val="28"/>
          <w:szCs w:val="28"/>
        </w:rPr>
        <w:t xml:space="preserve"> assessments of CAA Gov</w:t>
      </w:r>
      <w:r w:rsidR="005A16D3">
        <w:rPr>
          <w:b/>
          <w:sz w:val="28"/>
          <w:szCs w:val="28"/>
        </w:rPr>
        <w:t xml:space="preserve">ernance and implement timely reforms in policy and/or practice as needs are identified. </w:t>
      </w:r>
    </w:p>
    <w:p w:rsidR="0001783F" w:rsidRPr="00F2591F" w:rsidRDefault="0001783F" w:rsidP="00F2591F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F2591F">
        <w:rPr>
          <w:b/>
          <w:sz w:val="28"/>
          <w:szCs w:val="28"/>
        </w:rPr>
        <w:t xml:space="preserve"> Adopt </w:t>
      </w:r>
      <w:r w:rsidR="00E25CB5" w:rsidRPr="00F2591F">
        <w:rPr>
          <w:b/>
          <w:sz w:val="28"/>
          <w:szCs w:val="28"/>
        </w:rPr>
        <w:t xml:space="preserve">reasonable </w:t>
      </w:r>
      <w:r w:rsidRPr="00F2591F">
        <w:rPr>
          <w:b/>
          <w:sz w:val="28"/>
          <w:szCs w:val="28"/>
        </w:rPr>
        <w:t xml:space="preserve">board member term limits to create more predictable service cycles which </w:t>
      </w:r>
      <w:r w:rsidR="00E25CB5" w:rsidRPr="00F2591F">
        <w:rPr>
          <w:b/>
          <w:sz w:val="28"/>
          <w:szCs w:val="28"/>
        </w:rPr>
        <w:t>bal</w:t>
      </w:r>
      <w:r w:rsidR="005A16D3">
        <w:rPr>
          <w:b/>
          <w:sz w:val="28"/>
          <w:szCs w:val="28"/>
        </w:rPr>
        <w:t>ance the board’s need to involve</w:t>
      </w:r>
      <w:r w:rsidR="00E25CB5" w:rsidRPr="00F2591F">
        <w:rPr>
          <w:b/>
          <w:sz w:val="28"/>
          <w:szCs w:val="28"/>
        </w:rPr>
        <w:t xml:space="preserve"> both veteran and new volunteer leadership in governance deliberations. </w:t>
      </w:r>
    </w:p>
    <w:sectPr w:rsidR="0001783F" w:rsidRPr="00F2591F" w:rsidSect="006075A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DF" w:rsidRDefault="002037DF" w:rsidP="006075A4">
      <w:pPr>
        <w:spacing w:after="0" w:line="240" w:lineRule="auto"/>
      </w:pPr>
      <w:r>
        <w:separator/>
      </w:r>
    </w:p>
  </w:endnote>
  <w:endnote w:type="continuationSeparator" w:id="0">
    <w:p w:rsidR="002037DF" w:rsidRDefault="002037DF" w:rsidP="0060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025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3B0" w:rsidRDefault="00984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5A4" w:rsidRDefault="0060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DF" w:rsidRDefault="002037DF" w:rsidP="006075A4">
      <w:pPr>
        <w:spacing w:after="0" w:line="240" w:lineRule="auto"/>
      </w:pPr>
      <w:r>
        <w:separator/>
      </w:r>
    </w:p>
  </w:footnote>
  <w:footnote w:type="continuationSeparator" w:id="0">
    <w:p w:rsidR="002037DF" w:rsidRDefault="002037DF" w:rsidP="0060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57"/>
    <w:multiLevelType w:val="hybridMultilevel"/>
    <w:tmpl w:val="66CAC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A23AE"/>
    <w:multiLevelType w:val="hybridMultilevel"/>
    <w:tmpl w:val="649410A2"/>
    <w:lvl w:ilvl="0" w:tplc="2EA2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51F1"/>
    <w:multiLevelType w:val="hybridMultilevel"/>
    <w:tmpl w:val="837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2618B"/>
    <w:multiLevelType w:val="hybridMultilevel"/>
    <w:tmpl w:val="652CB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384A"/>
    <w:multiLevelType w:val="hybridMultilevel"/>
    <w:tmpl w:val="13EA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2D5C"/>
    <w:multiLevelType w:val="hybridMultilevel"/>
    <w:tmpl w:val="B964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4717"/>
    <w:multiLevelType w:val="hybridMultilevel"/>
    <w:tmpl w:val="0DFC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A01"/>
    <w:multiLevelType w:val="hybridMultilevel"/>
    <w:tmpl w:val="B1F6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062"/>
    <w:multiLevelType w:val="hybridMultilevel"/>
    <w:tmpl w:val="D232703C"/>
    <w:lvl w:ilvl="0" w:tplc="56F8C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514"/>
    <w:multiLevelType w:val="hybridMultilevel"/>
    <w:tmpl w:val="6124F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45ECD"/>
    <w:multiLevelType w:val="hybridMultilevel"/>
    <w:tmpl w:val="4BC675B6"/>
    <w:lvl w:ilvl="0" w:tplc="4760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01B50"/>
    <w:multiLevelType w:val="hybridMultilevel"/>
    <w:tmpl w:val="EA7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B4"/>
    <w:multiLevelType w:val="hybridMultilevel"/>
    <w:tmpl w:val="499A0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AF1"/>
    <w:multiLevelType w:val="hybridMultilevel"/>
    <w:tmpl w:val="DAC07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C633B"/>
    <w:multiLevelType w:val="hybridMultilevel"/>
    <w:tmpl w:val="8FF8B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004E5"/>
    <w:multiLevelType w:val="hybridMultilevel"/>
    <w:tmpl w:val="F886D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C5235"/>
    <w:multiLevelType w:val="hybridMultilevel"/>
    <w:tmpl w:val="57CE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51E3"/>
    <w:multiLevelType w:val="hybridMultilevel"/>
    <w:tmpl w:val="505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50D47"/>
    <w:multiLevelType w:val="hybridMultilevel"/>
    <w:tmpl w:val="19B0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A2B32"/>
    <w:multiLevelType w:val="hybridMultilevel"/>
    <w:tmpl w:val="D55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B0E"/>
    <w:multiLevelType w:val="hybridMultilevel"/>
    <w:tmpl w:val="5E6E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4662E"/>
    <w:multiLevelType w:val="hybridMultilevel"/>
    <w:tmpl w:val="912AA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74594"/>
    <w:multiLevelType w:val="hybridMultilevel"/>
    <w:tmpl w:val="181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3DE4"/>
    <w:multiLevelType w:val="hybridMultilevel"/>
    <w:tmpl w:val="5AA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21E8B"/>
    <w:multiLevelType w:val="hybridMultilevel"/>
    <w:tmpl w:val="7856D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C19AC"/>
    <w:multiLevelType w:val="hybridMultilevel"/>
    <w:tmpl w:val="22E2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632B"/>
    <w:multiLevelType w:val="hybridMultilevel"/>
    <w:tmpl w:val="A7B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B67C0"/>
    <w:multiLevelType w:val="hybridMultilevel"/>
    <w:tmpl w:val="E5A0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D520F"/>
    <w:multiLevelType w:val="hybridMultilevel"/>
    <w:tmpl w:val="90FE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F5628"/>
    <w:multiLevelType w:val="hybridMultilevel"/>
    <w:tmpl w:val="6C8C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9"/>
  </w:num>
  <w:num w:numId="5">
    <w:abstractNumId w:val="22"/>
  </w:num>
  <w:num w:numId="6">
    <w:abstractNumId w:val="28"/>
  </w:num>
  <w:num w:numId="7">
    <w:abstractNumId w:val="8"/>
  </w:num>
  <w:num w:numId="8">
    <w:abstractNumId w:val="3"/>
  </w:num>
  <w:num w:numId="9">
    <w:abstractNumId w:val="27"/>
  </w:num>
  <w:num w:numId="10">
    <w:abstractNumId w:val="26"/>
  </w:num>
  <w:num w:numId="11">
    <w:abstractNumId w:val="21"/>
  </w:num>
  <w:num w:numId="12">
    <w:abstractNumId w:val="6"/>
  </w:num>
  <w:num w:numId="13">
    <w:abstractNumId w:val="2"/>
  </w:num>
  <w:num w:numId="14">
    <w:abstractNumId w:val="15"/>
  </w:num>
  <w:num w:numId="15">
    <w:abstractNumId w:val="5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10"/>
  </w:num>
  <w:num w:numId="22">
    <w:abstractNumId w:val="23"/>
  </w:num>
  <w:num w:numId="23">
    <w:abstractNumId w:val="12"/>
  </w:num>
  <w:num w:numId="24">
    <w:abstractNumId w:val="24"/>
  </w:num>
  <w:num w:numId="25">
    <w:abstractNumId w:val="4"/>
  </w:num>
  <w:num w:numId="26">
    <w:abstractNumId w:val="25"/>
  </w:num>
  <w:num w:numId="27">
    <w:abstractNumId w:val="14"/>
  </w:num>
  <w:num w:numId="28">
    <w:abstractNumId w:val="1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8"/>
    <w:rsid w:val="0000459C"/>
    <w:rsid w:val="0001783F"/>
    <w:rsid w:val="0004320A"/>
    <w:rsid w:val="000453DE"/>
    <w:rsid w:val="000608CA"/>
    <w:rsid w:val="00082613"/>
    <w:rsid w:val="000B7590"/>
    <w:rsid w:val="000C6CB2"/>
    <w:rsid w:val="001064DE"/>
    <w:rsid w:val="00142957"/>
    <w:rsid w:val="001560A9"/>
    <w:rsid w:val="00160ED5"/>
    <w:rsid w:val="00197FCB"/>
    <w:rsid w:val="001A41C1"/>
    <w:rsid w:val="001B585B"/>
    <w:rsid w:val="001D7A5C"/>
    <w:rsid w:val="001F7DFC"/>
    <w:rsid w:val="002037DF"/>
    <w:rsid w:val="002075E3"/>
    <w:rsid w:val="00223AFE"/>
    <w:rsid w:val="0025006F"/>
    <w:rsid w:val="0026463C"/>
    <w:rsid w:val="00267304"/>
    <w:rsid w:val="00282511"/>
    <w:rsid w:val="002A6E05"/>
    <w:rsid w:val="002B7307"/>
    <w:rsid w:val="002F5963"/>
    <w:rsid w:val="00302865"/>
    <w:rsid w:val="00304796"/>
    <w:rsid w:val="00304877"/>
    <w:rsid w:val="00354092"/>
    <w:rsid w:val="00373646"/>
    <w:rsid w:val="0037591D"/>
    <w:rsid w:val="00385B81"/>
    <w:rsid w:val="003B317B"/>
    <w:rsid w:val="003D7819"/>
    <w:rsid w:val="003E0910"/>
    <w:rsid w:val="003E7AB2"/>
    <w:rsid w:val="003F4179"/>
    <w:rsid w:val="00426A58"/>
    <w:rsid w:val="004460DD"/>
    <w:rsid w:val="00465644"/>
    <w:rsid w:val="00482B2A"/>
    <w:rsid w:val="004860A5"/>
    <w:rsid w:val="004A61DF"/>
    <w:rsid w:val="004C0DB2"/>
    <w:rsid w:val="00522182"/>
    <w:rsid w:val="00527F1F"/>
    <w:rsid w:val="005315D9"/>
    <w:rsid w:val="0054038D"/>
    <w:rsid w:val="00551340"/>
    <w:rsid w:val="00553BA5"/>
    <w:rsid w:val="00567D6B"/>
    <w:rsid w:val="0059406B"/>
    <w:rsid w:val="005A16D3"/>
    <w:rsid w:val="005C41C5"/>
    <w:rsid w:val="005C5AAF"/>
    <w:rsid w:val="005D16B7"/>
    <w:rsid w:val="005D2A43"/>
    <w:rsid w:val="005E3D45"/>
    <w:rsid w:val="006075A4"/>
    <w:rsid w:val="006208EC"/>
    <w:rsid w:val="00662997"/>
    <w:rsid w:val="00674989"/>
    <w:rsid w:val="00695B76"/>
    <w:rsid w:val="006A7C2B"/>
    <w:rsid w:val="006C1091"/>
    <w:rsid w:val="006E60A9"/>
    <w:rsid w:val="006E741B"/>
    <w:rsid w:val="006F5B6B"/>
    <w:rsid w:val="00705867"/>
    <w:rsid w:val="0072347B"/>
    <w:rsid w:val="0072632B"/>
    <w:rsid w:val="007359D8"/>
    <w:rsid w:val="0077016E"/>
    <w:rsid w:val="007745A1"/>
    <w:rsid w:val="00781809"/>
    <w:rsid w:val="007E3DE3"/>
    <w:rsid w:val="007E474A"/>
    <w:rsid w:val="007F15D1"/>
    <w:rsid w:val="00810307"/>
    <w:rsid w:val="008473AF"/>
    <w:rsid w:val="00873886"/>
    <w:rsid w:val="00880F27"/>
    <w:rsid w:val="00881BE3"/>
    <w:rsid w:val="00895D57"/>
    <w:rsid w:val="008A05E8"/>
    <w:rsid w:val="008D5263"/>
    <w:rsid w:val="008D7C5F"/>
    <w:rsid w:val="009143E5"/>
    <w:rsid w:val="00944EE9"/>
    <w:rsid w:val="0097700F"/>
    <w:rsid w:val="009843B0"/>
    <w:rsid w:val="009A7245"/>
    <w:rsid w:val="009B4DE2"/>
    <w:rsid w:val="009C4CCE"/>
    <w:rsid w:val="009F2244"/>
    <w:rsid w:val="009F268A"/>
    <w:rsid w:val="00A03C30"/>
    <w:rsid w:val="00A1044E"/>
    <w:rsid w:val="00A17063"/>
    <w:rsid w:val="00A2564F"/>
    <w:rsid w:val="00A34C39"/>
    <w:rsid w:val="00A5334A"/>
    <w:rsid w:val="00AB3A93"/>
    <w:rsid w:val="00AD4372"/>
    <w:rsid w:val="00AE3B3B"/>
    <w:rsid w:val="00B05BF3"/>
    <w:rsid w:val="00B22204"/>
    <w:rsid w:val="00B42B84"/>
    <w:rsid w:val="00B73D5F"/>
    <w:rsid w:val="00B77865"/>
    <w:rsid w:val="00B854D4"/>
    <w:rsid w:val="00B937B8"/>
    <w:rsid w:val="00BA79BF"/>
    <w:rsid w:val="00BC6B31"/>
    <w:rsid w:val="00BE5388"/>
    <w:rsid w:val="00C000EE"/>
    <w:rsid w:val="00C113EA"/>
    <w:rsid w:val="00C129D9"/>
    <w:rsid w:val="00C250D7"/>
    <w:rsid w:val="00C27590"/>
    <w:rsid w:val="00C42F40"/>
    <w:rsid w:val="00C53345"/>
    <w:rsid w:val="00C61310"/>
    <w:rsid w:val="00C6533F"/>
    <w:rsid w:val="00C77FB0"/>
    <w:rsid w:val="00C85797"/>
    <w:rsid w:val="00C93143"/>
    <w:rsid w:val="00CA36AA"/>
    <w:rsid w:val="00CA7F56"/>
    <w:rsid w:val="00CC521E"/>
    <w:rsid w:val="00CE300E"/>
    <w:rsid w:val="00CE3360"/>
    <w:rsid w:val="00D008FE"/>
    <w:rsid w:val="00D20850"/>
    <w:rsid w:val="00D355A3"/>
    <w:rsid w:val="00D57024"/>
    <w:rsid w:val="00D6031F"/>
    <w:rsid w:val="00D61B0C"/>
    <w:rsid w:val="00D83547"/>
    <w:rsid w:val="00D95D3B"/>
    <w:rsid w:val="00DA6D48"/>
    <w:rsid w:val="00DE04F8"/>
    <w:rsid w:val="00E01F7E"/>
    <w:rsid w:val="00E25051"/>
    <w:rsid w:val="00E25CB5"/>
    <w:rsid w:val="00E43054"/>
    <w:rsid w:val="00EA7759"/>
    <w:rsid w:val="00EC133D"/>
    <w:rsid w:val="00EF34CB"/>
    <w:rsid w:val="00F1753F"/>
    <w:rsid w:val="00F2591F"/>
    <w:rsid w:val="00F45BCE"/>
    <w:rsid w:val="00F76AC1"/>
    <w:rsid w:val="00F975D9"/>
    <w:rsid w:val="00FE178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7843B-B57D-4D80-947A-74C0C6F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5A4"/>
  </w:style>
  <w:style w:type="paragraph" w:styleId="Footer">
    <w:name w:val="footer"/>
    <w:basedOn w:val="Normal"/>
    <w:link w:val="FooterChar"/>
    <w:uiPriority w:val="99"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WHunter</dc:creator>
  <cp:keywords/>
  <dc:description/>
  <cp:lastModifiedBy>WHunter</cp:lastModifiedBy>
  <cp:revision>2</cp:revision>
  <cp:lastPrinted>2020-03-03T18:13:00Z</cp:lastPrinted>
  <dcterms:created xsi:type="dcterms:W3CDTF">2020-03-05T17:14:00Z</dcterms:created>
  <dcterms:modified xsi:type="dcterms:W3CDTF">2020-03-05T17:14:00Z</dcterms:modified>
</cp:coreProperties>
</file>